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odyText"/>
        <w:spacing w:before="80"/>
        <w:ind w:left="299" w:right="300"/>
        <w:jc w:val="center"/>
      </w:pPr>
      <w:r>
        <w:t>PUBLIC NOTICE</w:t>
      </w:r>
    </w:p>
    <w:p>
      <w:pPr>
        <w:pStyle w:val="BodyText"/>
        <w:spacing w:line="253" w:lineRule="exact"/>
        <w:ind w:left="299" w:right="299"/>
        <w:jc w:val="center"/>
      </w:pPr>
      <w:r>
        <w:t>Bandera County</w:t>
      </w:r>
    </w:p>
    <w:p>
      <w:pPr>
        <w:pStyle w:val="BodyText"/>
        <w:spacing w:line="253" w:lineRule="exact"/>
        <w:ind w:left="299" w:right="299"/>
        <w:jc w:val="center"/>
      </w:pPr>
      <w:r>
        <w:t xml:space="preserve">COMMUNITY DEVELOPMENT BLOCK GRANT (CDBG) – </w:t>
      </w:r>
    </w:p>
    <w:p>
      <w:pPr>
        <w:pStyle w:val="BodyText"/>
        <w:spacing w:line="253" w:lineRule="exact"/>
        <w:ind w:left="299" w:right="299"/>
        <w:jc w:val="center"/>
      </w:pPr>
      <w:r>
        <w:t xml:space="preserve"> MITIGATION PROGRAM</w:t>
      </w:r>
    </w:p>
    <w:p>
      <w:pPr>
        <w:pStyle w:val="BodyText"/>
      </w:pPr>
    </w:p>
    <w:p>
      <w:pPr>
        <w:pStyle w:val="BodyText"/>
        <w:ind w:left="139" w:right="264"/>
      </w:pPr>
      <w:r>
        <w:t>Bandera County will submit a no cost CDBG amendment modifying the following activities from their 24- 065-106-E838 General Land Office grant:</w:t>
      </w:r>
    </w:p>
    <w:p>
      <w:pPr>
        <w:pStyle w:val="BodyText"/>
        <w:spacing w:before="1"/>
      </w:pPr>
    </w:p>
    <w:p>
      <w:pPr>
        <w:pStyle w:val="BodyText"/>
        <w:ind w:left="139"/>
      </w:pPr>
      <w:r>
        <w:t>The changes are as follows:</w:t>
      </w:r>
    </w:p>
    <w:p>
      <w:pPr>
        <w:pStyle w:val="BodyText"/>
        <w:spacing w:before="10" w:after="1"/>
        <w:rPr>
          <w:sz w:val="21"/>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38"/>
        <w:gridCol w:w="1804"/>
        <w:gridCol w:w="1783"/>
        <w:gridCol w:w="1472"/>
        <w:gridCol w:w="1897"/>
        <w:gridCol w:w="1897"/>
      </w:tblGrid>
      <w:tr>
        <w:trPr>
          <w:trHeight w:val="505"/>
        </w:trPr>
        <w:tc>
          <w:tcPr>
            <w:tcW w:w="1938" w:type="dxa"/>
          </w:tcPr>
          <w:p>
            <w:pPr>
              <w:pStyle w:val="TableParagraph"/>
              <w:ind w:left="308"/>
              <w:rPr>
                <w:b/>
              </w:rPr>
            </w:pPr>
            <w:r>
              <w:rPr>
                <w:b/>
              </w:rPr>
              <w:t>Project Type</w:t>
            </w:r>
          </w:p>
        </w:tc>
        <w:tc>
          <w:tcPr>
            <w:tcW w:w="1804" w:type="dxa"/>
          </w:tcPr>
          <w:p>
            <w:pPr>
              <w:pStyle w:val="TableParagraph"/>
              <w:spacing w:before="3" w:line="254" w:lineRule="exact"/>
              <w:ind w:left="442" w:right="415" w:firstLine="43"/>
              <w:rPr>
                <w:b/>
              </w:rPr>
            </w:pPr>
            <w:r>
              <w:rPr>
                <w:b/>
              </w:rPr>
              <w:t>Original Location</w:t>
            </w:r>
          </w:p>
        </w:tc>
        <w:tc>
          <w:tcPr>
            <w:tcW w:w="1783" w:type="dxa"/>
          </w:tcPr>
          <w:p>
            <w:pPr>
              <w:pStyle w:val="TableParagraph"/>
              <w:spacing w:before="3" w:line="254" w:lineRule="exact"/>
              <w:ind w:left="229" w:right="202" w:firstLine="18"/>
              <w:rPr>
                <w:b/>
              </w:rPr>
            </w:pPr>
            <w:r>
              <w:rPr>
                <w:b/>
              </w:rPr>
              <w:t>Updated Location</w:t>
            </w:r>
          </w:p>
        </w:tc>
        <w:tc>
          <w:tcPr>
            <w:tcW w:w="1472" w:type="dxa"/>
          </w:tcPr>
          <w:p>
            <w:pPr>
              <w:pStyle w:val="TableParagraph"/>
              <w:spacing w:before="3" w:line="254" w:lineRule="exact"/>
              <w:ind w:left="534" w:right="274" w:hanging="233"/>
              <w:rPr>
                <w:b/>
              </w:rPr>
            </w:pPr>
            <w:r>
              <w:rPr>
                <w:b/>
              </w:rPr>
              <w:t>Summary of Change</w:t>
            </w:r>
          </w:p>
        </w:tc>
        <w:tc>
          <w:tcPr>
            <w:tcW w:w="1897" w:type="dxa"/>
          </w:tcPr>
          <w:p>
            <w:pPr>
              <w:pStyle w:val="TableParagraph"/>
              <w:ind w:left="122"/>
              <w:rPr>
                <w:b/>
              </w:rPr>
            </w:pPr>
            <w:r>
              <w:rPr>
                <w:b/>
              </w:rPr>
              <w:t>Original Budget</w:t>
            </w:r>
          </w:p>
        </w:tc>
        <w:tc>
          <w:tcPr>
            <w:tcW w:w="1897" w:type="dxa"/>
          </w:tcPr>
          <w:p>
            <w:pPr>
              <w:pStyle w:val="TableParagraph"/>
              <w:spacing w:before="3" w:line="254" w:lineRule="exact"/>
              <w:ind w:left="568" w:right="188" w:hanging="356"/>
              <w:rPr>
                <w:b/>
              </w:rPr>
            </w:pPr>
            <w:r>
              <w:rPr>
                <w:b/>
              </w:rPr>
              <w:t>Updated Total Budget</w:t>
            </w:r>
          </w:p>
        </w:tc>
      </w:tr>
      <w:tr>
        <w:trPr>
          <w:trHeight w:val="505"/>
        </w:trPr>
        <w:tc>
          <w:tcPr>
            <w:tcW w:w="1938" w:type="dxa"/>
          </w:tcPr>
          <w:p>
            <w:pPr>
              <w:pStyle w:val="TableParagraph"/>
              <w:ind w:left="308"/>
              <w:rPr>
                <w:b/>
              </w:rPr>
            </w:pPr>
            <w:r>
              <w:t>Bandera County Dispatch Console Upgrade</w:t>
            </w:r>
          </w:p>
        </w:tc>
        <w:tc>
          <w:tcPr>
            <w:tcW w:w="1804" w:type="dxa"/>
          </w:tcPr>
          <w:p>
            <w:pPr>
              <w:pStyle w:val="TableParagraph"/>
              <w:spacing w:before="3" w:line="254" w:lineRule="exact"/>
              <w:ind w:left="0" w:right="415" w:firstLine="43"/>
              <w:jc w:val="center"/>
              <w:rPr>
                <w:b/>
              </w:rPr>
            </w:pPr>
            <w:r>
              <w:t>Bandera County Dispatch Center</w:t>
            </w:r>
          </w:p>
        </w:tc>
        <w:tc>
          <w:tcPr>
            <w:tcW w:w="1783" w:type="dxa"/>
          </w:tcPr>
          <w:p>
            <w:pPr>
              <w:pStyle w:val="TableParagraph"/>
              <w:ind w:left="0" w:right="101"/>
              <w:rPr>
                <w:sz w:val="20"/>
                <w:szCs w:val="20"/>
              </w:rPr>
            </w:pPr>
            <w:r>
              <w:rPr>
                <w:sz w:val="20"/>
                <w:szCs w:val="20"/>
              </w:rPr>
              <w:t>Vanderpool Tower</w:t>
            </w:r>
          </w:p>
          <w:p>
            <w:pPr>
              <w:pStyle w:val="TableParagraph"/>
              <w:ind w:left="0" w:right="101"/>
              <w:rPr>
                <w:sz w:val="20"/>
                <w:szCs w:val="20"/>
              </w:rPr>
            </w:pPr>
            <w:r>
              <w:rPr>
                <w:sz w:val="20"/>
                <w:szCs w:val="20"/>
              </w:rPr>
              <w:t>Pipe Creek Tower</w:t>
            </w:r>
          </w:p>
          <w:p>
            <w:pPr>
              <w:pStyle w:val="TableParagraph"/>
              <w:ind w:left="0" w:right="101"/>
              <w:rPr>
                <w:sz w:val="20"/>
                <w:szCs w:val="20"/>
              </w:rPr>
            </w:pPr>
            <w:r>
              <w:rPr>
                <w:sz w:val="20"/>
                <w:szCs w:val="20"/>
              </w:rPr>
              <w:t>Mico Tower</w:t>
            </w:r>
          </w:p>
          <w:p>
            <w:pPr>
              <w:pStyle w:val="TableParagraph"/>
              <w:ind w:left="0" w:right="101"/>
              <w:rPr>
                <w:sz w:val="20"/>
                <w:szCs w:val="20"/>
              </w:rPr>
            </w:pPr>
            <w:r>
              <w:rPr>
                <w:sz w:val="20"/>
                <w:szCs w:val="20"/>
              </w:rPr>
              <w:t>Bandera Mountain Tower</w:t>
            </w:r>
          </w:p>
          <w:p>
            <w:pPr>
              <w:pStyle w:val="TableParagraph"/>
              <w:spacing w:before="3" w:line="254" w:lineRule="exact"/>
              <w:ind w:left="0" w:right="202" w:firstLine="18"/>
              <w:rPr>
                <w:b/>
              </w:rPr>
            </w:pPr>
            <w:r>
              <w:rPr>
                <w:sz w:val="20"/>
                <w:szCs w:val="20"/>
              </w:rPr>
              <w:t>Medina Tower</w:t>
            </w:r>
          </w:p>
        </w:tc>
        <w:tc>
          <w:tcPr>
            <w:tcW w:w="1472" w:type="dxa"/>
          </w:tcPr>
          <w:p>
            <w:pPr>
              <w:pStyle w:val="TableParagraph"/>
              <w:ind w:right="150"/>
              <w:rPr>
                <w:b/>
              </w:rPr>
            </w:pPr>
            <w:r>
              <w:t xml:space="preserve">Terminate project and transfer funds to remaining repeater box upgrade project projects; </w:t>
            </w:r>
          </w:p>
          <w:p>
            <w:pPr>
              <w:pStyle w:val="TableParagraph"/>
              <w:spacing w:before="3" w:line="254" w:lineRule="exact"/>
              <w:ind w:left="534" w:right="274" w:hanging="233"/>
              <w:rPr>
                <w:b/>
              </w:rPr>
            </w:pPr>
          </w:p>
        </w:tc>
        <w:tc>
          <w:tcPr>
            <w:tcW w:w="1897" w:type="dxa"/>
          </w:tcPr>
          <w:p>
            <w:pPr>
              <w:pStyle w:val="TableParagraph"/>
              <w:ind w:left="122"/>
              <w:rPr>
                <w:b/>
              </w:rPr>
            </w:pPr>
            <w:r>
              <w:t>$451,882.50</w:t>
            </w:r>
          </w:p>
        </w:tc>
        <w:tc>
          <w:tcPr>
            <w:tcW w:w="1897" w:type="dxa"/>
          </w:tcPr>
          <w:p>
            <w:pPr>
              <w:pStyle w:val="TableParagraph"/>
              <w:spacing w:before="3" w:line="254" w:lineRule="exact"/>
              <w:ind w:left="568" w:right="188" w:hanging="356"/>
              <w:rPr>
                <w:b/>
              </w:rPr>
            </w:pPr>
            <w:r>
              <w:t>$0.00</w:t>
            </w:r>
          </w:p>
        </w:tc>
      </w:tr>
      <w:tr>
        <w:trPr>
          <w:trHeight w:val="2272"/>
        </w:trPr>
        <w:tc>
          <w:tcPr>
            <w:tcW w:w="1938" w:type="dxa"/>
          </w:tcPr>
          <w:p>
            <w:pPr>
              <w:pStyle w:val="TableParagraph"/>
              <w:ind w:right="272"/>
            </w:pPr>
            <w:r>
              <w:t>Bandera County Repeater Boxes Upgrade</w:t>
            </w:r>
          </w:p>
        </w:tc>
        <w:tc>
          <w:tcPr>
            <w:tcW w:w="1804" w:type="dxa"/>
          </w:tcPr>
          <w:p>
            <w:pPr>
              <w:pStyle w:val="TableParagraph"/>
              <w:ind w:left="0" w:right="101"/>
              <w:rPr>
                <w:sz w:val="20"/>
                <w:szCs w:val="20"/>
              </w:rPr>
            </w:pPr>
            <w:r>
              <w:rPr>
                <w:sz w:val="20"/>
                <w:szCs w:val="20"/>
              </w:rPr>
              <w:t xml:space="preserve"> Utopia Tower</w:t>
            </w:r>
          </w:p>
          <w:p>
            <w:pPr>
              <w:pStyle w:val="TableParagraph"/>
              <w:ind w:left="0" w:right="101"/>
              <w:rPr>
                <w:sz w:val="20"/>
                <w:szCs w:val="20"/>
              </w:rPr>
            </w:pPr>
            <w:r>
              <w:rPr>
                <w:sz w:val="20"/>
                <w:szCs w:val="20"/>
              </w:rPr>
              <w:t>Vanderpool Tower</w:t>
            </w:r>
          </w:p>
          <w:p>
            <w:pPr>
              <w:pStyle w:val="TableParagraph"/>
              <w:ind w:left="0" w:right="101"/>
              <w:rPr>
                <w:sz w:val="20"/>
                <w:szCs w:val="20"/>
              </w:rPr>
            </w:pPr>
            <w:r>
              <w:rPr>
                <w:sz w:val="20"/>
                <w:szCs w:val="20"/>
              </w:rPr>
              <w:t>Tarpley Tower</w:t>
            </w:r>
          </w:p>
          <w:p>
            <w:pPr>
              <w:pStyle w:val="TableParagraph"/>
              <w:ind w:left="0" w:right="101"/>
              <w:rPr>
                <w:sz w:val="20"/>
                <w:szCs w:val="20"/>
              </w:rPr>
            </w:pPr>
            <w:r>
              <w:rPr>
                <w:sz w:val="20"/>
                <w:szCs w:val="20"/>
              </w:rPr>
              <w:t>Pipe Creek Tower</w:t>
            </w:r>
          </w:p>
          <w:p>
            <w:pPr>
              <w:pStyle w:val="TableParagraph"/>
              <w:ind w:left="0" w:right="101"/>
              <w:rPr>
                <w:sz w:val="20"/>
                <w:szCs w:val="20"/>
              </w:rPr>
            </w:pPr>
            <w:r>
              <w:rPr>
                <w:sz w:val="20"/>
                <w:szCs w:val="20"/>
              </w:rPr>
              <w:t>Mico Tower</w:t>
            </w:r>
          </w:p>
          <w:p>
            <w:pPr>
              <w:pStyle w:val="TableParagraph"/>
              <w:ind w:left="0" w:right="101"/>
              <w:rPr>
                <w:sz w:val="20"/>
                <w:szCs w:val="20"/>
              </w:rPr>
            </w:pPr>
            <w:r>
              <w:rPr>
                <w:sz w:val="20"/>
                <w:szCs w:val="20"/>
              </w:rPr>
              <w:t>Bandera Mountain Tower</w:t>
            </w:r>
          </w:p>
          <w:p>
            <w:pPr>
              <w:pStyle w:val="TableParagraph"/>
              <w:ind w:left="0" w:right="101"/>
              <w:rPr>
                <w:sz w:val="20"/>
                <w:szCs w:val="20"/>
              </w:rPr>
            </w:pPr>
            <w:r>
              <w:rPr>
                <w:sz w:val="20"/>
                <w:szCs w:val="20"/>
              </w:rPr>
              <w:t>Medina Tower</w:t>
            </w:r>
          </w:p>
        </w:tc>
        <w:tc>
          <w:tcPr>
            <w:tcW w:w="1783" w:type="dxa"/>
          </w:tcPr>
          <w:p>
            <w:pPr>
              <w:pStyle w:val="TableParagraph"/>
              <w:ind w:left="0" w:right="101"/>
              <w:rPr>
                <w:sz w:val="20"/>
                <w:szCs w:val="20"/>
              </w:rPr>
            </w:pPr>
            <w:r>
              <w:rPr>
                <w:sz w:val="20"/>
                <w:szCs w:val="20"/>
              </w:rPr>
              <w:t>Vanderpool Tower</w:t>
            </w:r>
          </w:p>
          <w:p>
            <w:pPr>
              <w:pStyle w:val="TableParagraph"/>
              <w:ind w:left="0" w:right="101"/>
              <w:rPr>
                <w:sz w:val="20"/>
                <w:szCs w:val="20"/>
              </w:rPr>
            </w:pPr>
            <w:r>
              <w:rPr>
                <w:sz w:val="20"/>
                <w:szCs w:val="20"/>
              </w:rPr>
              <w:t>Pipe Creek Tower</w:t>
            </w:r>
          </w:p>
          <w:p>
            <w:pPr>
              <w:pStyle w:val="TableParagraph"/>
              <w:ind w:left="0" w:right="101"/>
              <w:rPr>
                <w:sz w:val="20"/>
                <w:szCs w:val="20"/>
              </w:rPr>
            </w:pPr>
            <w:r>
              <w:rPr>
                <w:sz w:val="20"/>
                <w:szCs w:val="20"/>
              </w:rPr>
              <w:t>Mico Tower</w:t>
            </w:r>
          </w:p>
          <w:p>
            <w:pPr>
              <w:pStyle w:val="TableParagraph"/>
              <w:ind w:left="0" w:right="101"/>
              <w:rPr>
                <w:sz w:val="20"/>
                <w:szCs w:val="20"/>
              </w:rPr>
            </w:pPr>
            <w:r>
              <w:rPr>
                <w:sz w:val="20"/>
                <w:szCs w:val="20"/>
              </w:rPr>
              <w:t>Bandera Mountain Tower</w:t>
            </w:r>
          </w:p>
          <w:p>
            <w:pPr>
              <w:pStyle w:val="TableParagraph"/>
              <w:ind w:left="0"/>
            </w:pPr>
            <w:r>
              <w:rPr>
                <w:sz w:val="20"/>
                <w:szCs w:val="20"/>
              </w:rPr>
              <w:t>Medina Tower</w:t>
            </w:r>
          </w:p>
        </w:tc>
        <w:tc>
          <w:tcPr>
            <w:tcW w:w="1472" w:type="dxa"/>
          </w:tcPr>
          <w:p>
            <w:pPr>
              <w:pStyle w:val="TableParagraph"/>
              <w:ind w:right="150"/>
            </w:pPr>
            <w:r>
              <w:t>Terminate upgrade to Tarpley and Utopia Tower; transfer funds to remaining towers on project</w:t>
            </w:r>
          </w:p>
        </w:tc>
        <w:tc>
          <w:tcPr>
            <w:tcW w:w="1897" w:type="dxa"/>
          </w:tcPr>
          <w:p>
            <w:pPr>
              <w:pStyle w:val="TableParagraph"/>
              <w:spacing w:line="248" w:lineRule="exact"/>
              <w:ind w:left="106"/>
            </w:pPr>
            <w:r>
              <w:t>$865,217.50</w:t>
            </w:r>
          </w:p>
        </w:tc>
        <w:tc>
          <w:tcPr>
            <w:tcW w:w="1897" w:type="dxa"/>
          </w:tcPr>
          <w:p>
            <w:pPr>
              <w:pStyle w:val="TableParagraph"/>
              <w:spacing w:line="248" w:lineRule="exact"/>
              <w:ind w:left="106"/>
            </w:pPr>
            <w:r>
              <w:t>$1,317,100.00</w:t>
            </w:r>
          </w:p>
        </w:tc>
      </w:tr>
      <w:tr>
        <w:trPr>
          <w:trHeight w:val="248"/>
        </w:trPr>
        <w:tc>
          <w:tcPr>
            <w:tcW w:w="1938" w:type="dxa"/>
          </w:tcPr>
          <w:p>
            <w:pPr>
              <w:pStyle w:val="TableParagraph"/>
              <w:ind w:left="0"/>
              <w:rPr>
                <w:rFonts w:ascii="Times New Roman"/>
                <w:sz w:val="18"/>
              </w:rPr>
            </w:pPr>
          </w:p>
        </w:tc>
        <w:tc>
          <w:tcPr>
            <w:tcW w:w="1804" w:type="dxa"/>
          </w:tcPr>
          <w:p>
            <w:pPr>
              <w:pStyle w:val="TableParagraph"/>
              <w:ind w:left="0"/>
              <w:rPr>
                <w:rFonts w:ascii="Times New Roman"/>
                <w:sz w:val="18"/>
              </w:rPr>
            </w:pPr>
          </w:p>
        </w:tc>
        <w:tc>
          <w:tcPr>
            <w:tcW w:w="1783" w:type="dxa"/>
          </w:tcPr>
          <w:p>
            <w:pPr>
              <w:pStyle w:val="TableParagraph"/>
              <w:ind w:left="0"/>
              <w:rPr>
                <w:rFonts w:ascii="Times New Roman"/>
                <w:sz w:val="18"/>
              </w:rPr>
            </w:pPr>
          </w:p>
        </w:tc>
        <w:tc>
          <w:tcPr>
            <w:tcW w:w="1472" w:type="dxa"/>
          </w:tcPr>
          <w:p>
            <w:pPr>
              <w:pStyle w:val="TableParagraph"/>
              <w:spacing w:line="228" w:lineRule="exact"/>
            </w:pPr>
            <w:r>
              <w:t>Total:</w:t>
            </w:r>
          </w:p>
        </w:tc>
        <w:tc>
          <w:tcPr>
            <w:tcW w:w="1897" w:type="dxa"/>
          </w:tcPr>
          <w:p>
            <w:pPr>
              <w:pStyle w:val="TableParagraph"/>
              <w:spacing w:line="228" w:lineRule="exact"/>
              <w:ind w:left="106"/>
            </w:pPr>
            <w:r>
              <w:t>$1,317,100.00</w:t>
            </w:r>
          </w:p>
        </w:tc>
        <w:tc>
          <w:tcPr>
            <w:tcW w:w="1897" w:type="dxa"/>
          </w:tcPr>
          <w:p>
            <w:pPr>
              <w:pStyle w:val="TableParagraph"/>
              <w:spacing w:line="228" w:lineRule="exact"/>
              <w:ind w:left="106"/>
            </w:pPr>
            <w:r>
              <w:t>$1,317,100.00</w:t>
            </w:r>
          </w:p>
        </w:tc>
      </w:tr>
    </w:tbl>
    <w:p>
      <w:pPr>
        <w:ind w:left="140"/>
        <w:rPr>
          <w:i/>
        </w:rPr>
      </w:pPr>
      <w:r>
        <w:rPr>
          <w:b/>
        </w:rPr>
        <w:t>*</w:t>
      </w:r>
      <w:r>
        <w:rPr>
          <w:i/>
        </w:rPr>
        <w:t>A detailed budget breakdown is available upon</w:t>
      </w:r>
      <w:r>
        <w:rPr>
          <w:i/>
          <w:spacing w:val="-14"/>
        </w:rPr>
        <w:t xml:space="preserve"> </w:t>
      </w:r>
      <w:r>
        <w:rPr>
          <w:i/>
        </w:rPr>
        <w:t>request.</w:t>
      </w:r>
    </w:p>
    <w:p>
      <w:pPr>
        <w:pStyle w:val="BodyText"/>
        <w:rPr>
          <w:i/>
        </w:rPr>
      </w:pPr>
    </w:p>
    <w:p>
      <w:pPr>
        <w:pStyle w:val="BodyText"/>
        <w:ind w:left="140" w:right="138"/>
        <w:jc w:val="both"/>
      </w:pPr>
      <w:r>
        <w:t>Bandera County is electing to terminate upgrades to the Tarpley and Utopia Tower locations. The</w:t>
      </w:r>
      <w:r>
        <w:rPr>
          <w:spacing w:val="-3"/>
        </w:rPr>
        <w:t xml:space="preserve"> </w:t>
      </w:r>
      <w:r>
        <w:t>benefit</w:t>
      </w:r>
      <w:r>
        <w:rPr>
          <w:spacing w:val="-3"/>
        </w:rPr>
        <w:t xml:space="preserve"> </w:t>
      </w:r>
      <w:r>
        <w:t>type</w:t>
      </w:r>
      <w:r>
        <w:rPr>
          <w:spacing w:val="-4"/>
        </w:rPr>
        <w:t xml:space="preserve"> </w:t>
      </w:r>
      <w:r>
        <w:t>for</w:t>
      </w:r>
      <w:r>
        <w:rPr>
          <w:spacing w:val="-4"/>
        </w:rPr>
        <w:t xml:space="preserve"> </w:t>
      </w:r>
      <w:r>
        <w:t>this</w:t>
      </w:r>
      <w:r>
        <w:rPr>
          <w:spacing w:val="-3"/>
        </w:rPr>
        <w:t xml:space="preserve"> </w:t>
      </w:r>
      <w:r>
        <w:t>project</w:t>
      </w:r>
      <w:r>
        <w:rPr>
          <w:spacing w:val="-3"/>
        </w:rPr>
        <w:t xml:space="preserve"> </w:t>
      </w:r>
      <w:r>
        <w:t>was</w:t>
      </w:r>
      <w:r>
        <w:rPr>
          <w:spacing w:val="-3"/>
        </w:rPr>
        <w:t xml:space="preserve"> </w:t>
      </w:r>
      <w:r>
        <w:t>County-wide</w:t>
      </w:r>
      <w:r>
        <w:rPr>
          <w:spacing w:val="-4"/>
        </w:rPr>
        <w:t xml:space="preserve"> </w:t>
      </w:r>
      <w:r>
        <w:t>(population:</w:t>
      </w:r>
      <w:r>
        <w:rPr>
          <w:spacing w:val="-3"/>
        </w:rPr>
        <w:t xml:space="preserve"> </w:t>
      </w:r>
      <w:r>
        <w:t>21,734).</w:t>
      </w:r>
      <w:r>
        <w:rPr>
          <w:spacing w:val="-3"/>
        </w:rPr>
        <w:t xml:space="preserve"> </w:t>
      </w:r>
      <w:r>
        <w:t>The</w:t>
      </w:r>
      <w:r>
        <w:rPr>
          <w:spacing w:val="-3"/>
        </w:rPr>
        <w:t xml:space="preserve"> </w:t>
      </w:r>
      <w:r>
        <w:t>beneficiaries</w:t>
      </w:r>
      <w:r>
        <w:rPr>
          <w:spacing w:val="-2"/>
        </w:rPr>
        <w:t xml:space="preserve"> </w:t>
      </w:r>
      <w:r>
        <w:t>will</w:t>
      </w:r>
      <w:r>
        <w:rPr>
          <w:spacing w:val="-3"/>
        </w:rPr>
        <w:t xml:space="preserve"> </w:t>
      </w:r>
      <w:r>
        <w:t>still</w:t>
      </w:r>
      <w:r>
        <w:rPr>
          <w:spacing w:val="-3"/>
        </w:rPr>
        <w:t xml:space="preserve"> </w:t>
      </w:r>
      <w:r>
        <w:t>be</w:t>
      </w:r>
      <w:r>
        <w:rPr>
          <w:spacing w:val="-5"/>
        </w:rPr>
        <w:t xml:space="preserve"> </w:t>
      </w:r>
      <w:r>
        <w:t>served</w:t>
      </w:r>
      <w:r>
        <w:rPr>
          <w:spacing w:val="-4"/>
        </w:rPr>
        <w:t xml:space="preserve"> </w:t>
      </w:r>
      <w:r>
        <w:t>as part of the original scope of work is still being</w:t>
      </w:r>
      <w:r>
        <w:rPr>
          <w:spacing w:val="-3"/>
        </w:rPr>
        <w:t xml:space="preserve"> </w:t>
      </w:r>
      <w:r>
        <w:t>completed.</w:t>
      </w:r>
    </w:p>
    <w:p>
      <w:pPr>
        <w:pStyle w:val="BodyText"/>
      </w:pPr>
    </w:p>
    <w:p>
      <w:pPr>
        <w:pStyle w:val="BodyText"/>
        <w:ind w:left="140" w:right="137"/>
        <w:jc w:val="both"/>
      </w:pPr>
      <w:r>
        <w:t>Bandera County is electing to terminate the dispatch console portion of this project. This is being done to move funds from the dispatch console project to the repeater box upgrade project. This will allow Bandera County to address the County’s imminent repeater box upgrade needs.  The benefit type for this project was County-wide (population: 21,734). The beneficiaries are still being served as the primary location remains the same.</w:t>
      </w:r>
    </w:p>
    <w:p>
      <w:pPr>
        <w:pStyle w:val="BodyText"/>
      </w:pPr>
    </w:p>
    <w:p>
      <w:pPr>
        <w:pStyle w:val="BodyText"/>
        <w:ind w:left="139" w:right="139"/>
        <w:jc w:val="both"/>
      </w:pPr>
      <w:r>
        <w:t>The</w:t>
      </w:r>
      <w:r>
        <w:rPr>
          <w:spacing w:val="-8"/>
        </w:rPr>
        <w:t xml:space="preserve"> </w:t>
      </w:r>
      <w:r>
        <w:t>full</w:t>
      </w:r>
      <w:r>
        <w:rPr>
          <w:spacing w:val="-7"/>
        </w:rPr>
        <w:t xml:space="preserve"> </w:t>
      </w:r>
      <w:r>
        <w:t>change</w:t>
      </w:r>
      <w:r>
        <w:rPr>
          <w:spacing w:val="-8"/>
        </w:rPr>
        <w:t xml:space="preserve"> </w:t>
      </w:r>
      <w:r>
        <w:t>request</w:t>
      </w:r>
      <w:r>
        <w:rPr>
          <w:spacing w:val="-8"/>
        </w:rPr>
        <w:t xml:space="preserve"> </w:t>
      </w:r>
      <w:r>
        <w:t>will</w:t>
      </w:r>
      <w:r>
        <w:rPr>
          <w:spacing w:val="-7"/>
        </w:rPr>
        <w:t xml:space="preserve"> </w:t>
      </w:r>
      <w:r>
        <w:t>be</w:t>
      </w:r>
      <w:r>
        <w:rPr>
          <w:spacing w:val="-8"/>
        </w:rPr>
        <w:t xml:space="preserve"> </w:t>
      </w:r>
      <w:r>
        <w:t>available</w:t>
      </w:r>
      <w:r>
        <w:rPr>
          <w:spacing w:val="-7"/>
        </w:rPr>
        <w:t xml:space="preserve"> </w:t>
      </w:r>
      <w:r>
        <w:t>for</w:t>
      </w:r>
      <w:r>
        <w:rPr>
          <w:spacing w:val="-8"/>
        </w:rPr>
        <w:t xml:space="preserve"> </w:t>
      </w:r>
      <w:r>
        <w:t>review</w:t>
      </w:r>
      <w:r>
        <w:rPr>
          <w:spacing w:val="-8"/>
        </w:rPr>
        <w:t xml:space="preserve"> </w:t>
      </w:r>
      <w:r>
        <w:t>on</w:t>
      </w:r>
      <w:r>
        <w:rPr>
          <w:spacing w:val="-7"/>
        </w:rPr>
        <w:t xml:space="preserve"> </w:t>
      </w:r>
      <w:r>
        <w:t>and</w:t>
      </w:r>
      <w:r>
        <w:rPr>
          <w:spacing w:val="-8"/>
        </w:rPr>
        <w:t xml:space="preserve"> </w:t>
      </w:r>
      <w:r>
        <w:t>after</w:t>
      </w:r>
      <w:r>
        <w:rPr>
          <w:spacing w:val="-7"/>
        </w:rPr>
        <w:t xml:space="preserve"> </w:t>
      </w:r>
      <w:r>
        <w:rPr>
          <w:bCs/>
        </w:rPr>
        <w:t>21 August 2025,</w:t>
      </w:r>
      <w:r>
        <w:rPr>
          <w:spacing w:val="-8"/>
        </w:rPr>
        <w:t xml:space="preserve"> </w:t>
      </w:r>
      <w:r>
        <w:t>at</w:t>
      </w:r>
      <w:r>
        <w:rPr>
          <w:spacing w:val="-4"/>
        </w:rPr>
        <w:t xml:space="preserve"> </w:t>
      </w:r>
      <w:r>
        <w:t>500 Main Street, Bandera, Tx 78003 during regular business hours for fifteen (15)</w:t>
      </w:r>
      <w:r>
        <w:rPr>
          <w:spacing w:val="-3"/>
        </w:rPr>
        <w:t xml:space="preserve"> </w:t>
      </w:r>
      <w:r>
        <w:t>days.</w:t>
      </w:r>
    </w:p>
    <w:p>
      <w:pPr>
        <w:pStyle w:val="BodyText"/>
        <w:rPr>
          <w:sz w:val="20"/>
        </w:rPr>
      </w:pPr>
    </w:p>
    <w:p>
      <w:pPr>
        <w:pStyle w:val="BodyText"/>
        <w:spacing w:before="4"/>
      </w:pPr>
      <w:bookmarkStart w:id="0" w:name="_GoBack"/>
      <w:bookmarkEnd w:id="0"/>
      <w:r>
        <w:rPr>
          <w:noProof/>
        </w:rPr>
        <mc:AlternateContent>
          <mc:Choice Requires="wps">
            <w:drawing>
              <wp:anchor distT="0" distB="0" distL="0" distR="0" simplePos="0" relativeHeight="251657728" behindDoc="1" locked="0" layoutInCell="1" allowOverlap="1">
                <wp:simplePos x="0" y="0"/>
                <wp:positionH relativeFrom="page">
                  <wp:posOffset>438150</wp:posOffset>
                </wp:positionH>
                <wp:positionV relativeFrom="paragraph">
                  <wp:posOffset>221615</wp:posOffset>
                </wp:positionV>
                <wp:extent cx="6896100" cy="1270"/>
                <wp:effectExtent l="0" t="0" r="0" b="0"/>
                <wp:wrapTopAndBottom/>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96100" cy="1270"/>
                        </a:xfrm>
                        <a:custGeom>
                          <a:avLst/>
                          <a:gdLst>
                            <a:gd name="T0" fmla="+- 0 690 690"/>
                            <a:gd name="T1" fmla="*/ T0 w 10860"/>
                            <a:gd name="T2" fmla="+- 0 11550 690"/>
                            <a:gd name="T3" fmla="*/ T2 w 10860"/>
                          </a:gdLst>
                          <a:ahLst/>
                          <a:cxnLst>
                            <a:cxn ang="0">
                              <a:pos x="T1" y="0"/>
                            </a:cxn>
                            <a:cxn ang="0">
                              <a:pos x="T3" y="0"/>
                            </a:cxn>
                          </a:cxnLst>
                          <a:rect l="0" t="0" r="r" b="b"/>
                          <a:pathLst>
                            <a:path w="10860">
                              <a:moveTo>
                                <a:pt x="0" y="0"/>
                              </a:moveTo>
                              <a:lnTo>
                                <a:pt x="10860" y="0"/>
                              </a:lnTo>
                            </a:path>
                          </a:pathLst>
                        </a:custGeom>
                        <a:noFill/>
                        <a:ln w="38100">
                          <a:solidFill>
                            <a:srgbClr val="000000"/>
                          </a:solidFill>
                          <a:prstDash val="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 o:spid="_x0000_s1026" style="position:absolute;margin-left:34.5pt;margin-top:17.45pt;width:543pt;height:.1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" path="m,l10860,e" filled="f" strokeweight="3pt">
                <v:stroke dashstyle="dot"/>
                <v:path arrowok="t" o:connecttype="custom" o:connectlocs="0,0;6896100,0" o:connectangles="0,0"/>
                <w10:wrap type="topAndBottom" anchorx="page"/>
              </v:shape>
            </w:pict>
          </mc:Fallback>
        </mc:AlternateContent>
      </w:r>
    </w:p>
    <w:sectPr>
      <w:pgSz w:w="12240" w:h="15840"/>
      <w:pgMar w:top="640" w:right="580" w:bottom="280" w:left="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125671"/>
    <w:multiLevelType w:val="hybridMultilevel"/>
    <w:tmpl w:val="D750D846"/>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1" w15:restartNumberingAfterBreak="0">
    <w:nsid w:val="370A4BFE"/>
    <w:multiLevelType w:val="hybridMultilevel"/>
    <w:tmpl w:val="9D741A32"/>
    <w:lvl w:ilvl="0" w:tplc="E84E7AAC">
      <w:numFmt w:val="bullet"/>
      <w:lvlText w:val="-"/>
      <w:lvlJc w:val="left"/>
      <w:pPr>
        <w:ind w:left="467" w:hanging="360"/>
      </w:pPr>
      <w:rPr>
        <w:rFonts w:ascii="Arial" w:eastAsia="Arial" w:hAnsi="Arial" w:cs="Arial" w:hint="default"/>
      </w:rPr>
    </w:lvl>
    <w:lvl w:ilvl="1" w:tplc="04090003" w:tentative="1">
      <w:start w:val="1"/>
      <w:numFmt w:val="bullet"/>
      <w:lvlText w:val="o"/>
      <w:lvlJc w:val="left"/>
      <w:pPr>
        <w:ind w:left="1187" w:hanging="360"/>
      </w:pPr>
      <w:rPr>
        <w:rFonts w:ascii="Courier New" w:hAnsi="Courier New" w:cs="Courier New" w:hint="default"/>
      </w:rPr>
    </w:lvl>
    <w:lvl w:ilvl="2" w:tplc="04090005" w:tentative="1">
      <w:start w:val="1"/>
      <w:numFmt w:val="bullet"/>
      <w:lvlText w:val=""/>
      <w:lvlJc w:val="left"/>
      <w:pPr>
        <w:ind w:left="1907" w:hanging="360"/>
      </w:pPr>
      <w:rPr>
        <w:rFonts w:ascii="Wingdings" w:hAnsi="Wingdings" w:hint="default"/>
      </w:rPr>
    </w:lvl>
    <w:lvl w:ilvl="3" w:tplc="04090001" w:tentative="1">
      <w:start w:val="1"/>
      <w:numFmt w:val="bullet"/>
      <w:lvlText w:val=""/>
      <w:lvlJc w:val="left"/>
      <w:pPr>
        <w:ind w:left="2627" w:hanging="360"/>
      </w:pPr>
      <w:rPr>
        <w:rFonts w:ascii="Symbol" w:hAnsi="Symbol" w:hint="default"/>
      </w:rPr>
    </w:lvl>
    <w:lvl w:ilvl="4" w:tplc="04090003" w:tentative="1">
      <w:start w:val="1"/>
      <w:numFmt w:val="bullet"/>
      <w:lvlText w:val="o"/>
      <w:lvlJc w:val="left"/>
      <w:pPr>
        <w:ind w:left="3347" w:hanging="360"/>
      </w:pPr>
      <w:rPr>
        <w:rFonts w:ascii="Courier New" w:hAnsi="Courier New" w:cs="Courier New" w:hint="default"/>
      </w:rPr>
    </w:lvl>
    <w:lvl w:ilvl="5" w:tplc="04090005" w:tentative="1">
      <w:start w:val="1"/>
      <w:numFmt w:val="bullet"/>
      <w:lvlText w:val=""/>
      <w:lvlJc w:val="left"/>
      <w:pPr>
        <w:ind w:left="4067" w:hanging="360"/>
      </w:pPr>
      <w:rPr>
        <w:rFonts w:ascii="Wingdings" w:hAnsi="Wingdings" w:hint="default"/>
      </w:rPr>
    </w:lvl>
    <w:lvl w:ilvl="6" w:tplc="04090001" w:tentative="1">
      <w:start w:val="1"/>
      <w:numFmt w:val="bullet"/>
      <w:lvlText w:val=""/>
      <w:lvlJc w:val="left"/>
      <w:pPr>
        <w:ind w:left="4787" w:hanging="360"/>
      </w:pPr>
      <w:rPr>
        <w:rFonts w:ascii="Symbol" w:hAnsi="Symbol" w:hint="default"/>
      </w:rPr>
    </w:lvl>
    <w:lvl w:ilvl="7" w:tplc="04090003" w:tentative="1">
      <w:start w:val="1"/>
      <w:numFmt w:val="bullet"/>
      <w:lvlText w:val="o"/>
      <w:lvlJc w:val="left"/>
      <w:pPr>
        <w:ind w:left="5507" w:hanging="360"/>
      </w:pPr>
      <w:rPr>
        <w:rFonts w:ascii="Courier New" w:hAnsi="Courier New" w:cs="Courier New" w:hint="default"/>
      </w:rPr>
    </w:lvl>
    <w:lvl w:ilvl="8" w:tplc="04090005" w:tentative="1">
      <w:start w:val="1"/>
      <w:numFmt w:val="bullet"/>
      <w:lvlText w:val=""/>
      <w:lvlJc w:val="left"/>
      <w:pPr>
        <w:ind w:left="622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6C77DB-4BAC-41DC-8AEC-3AC31974A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Arial" w:eastAsia="Arial" w:hAnsi="Arial" w:cs="Arial"/>
      <w:b/>
      <w:bCs/>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A274B6BD0B3846B19D8817B2048EB7" ma:contentTypeVersion="22" ma:contentTypeDescription="Create a new document." ma:contentTypeScope="" ma:versionID="0babd5c481363cd4ace6cba9a8912cda">
  <xsd:schema xmlns:xsd="http://www.w3.org/2001/XMLSchema" xmlns:xs="http://www.w3.org/2001/XMLSchema" xmlns:p="http://schemas.microsoft.com/office/2006/metadata/properties" xmlns:ns2="9598b980-cbec-4033-8883-ac659d9d45fd" xmlns:ns3="ae1b8d5f-bb82-429f-96d8-4cc46591677e" targetNamespace="http://schemas.microsoft.com/office/2006/metadata/properties" ma:root="true" ma:fieldsID="4903c31a52f033bcebe70ce40458bff8" ns2:_="" ns3:_="">
    <xsd:import namespace="9598b980-cbec-4033-8883-ac659d9d45fd"/>
    <xsd:import namespace="ae1b8d5f-bb82-429f-96d8-4cc46591677e"/>
    <xsd:element name="properties">
      <xsd:complexType>
        <xsd:sequence>
          <xsd:element name="documentManagement">
            <xsd:complexType>
              <xsd:all>
                <xsd:element ref="ns2:MigrationWizId" minOccurs="0"/>
                <xsd:element ref="ns2:MigrationWizIdPermissions" minOccurs="0"/>
                <xsd:element ref="ns2:MigrationWizIdVersion" minOccurs="0"/>
                <xsd:element ref="ns2:MediaServiceMetadata" minOccurs="0"/>
                <xsd:element ref="ns2:MediaServiceFastMetadata" minOccurs="0"/>
                <xsd:element ref="ns3:TaxCatchAll" minOccurs="0"/>
                <xsd:element ref="ns2:MediaServiceLocation" minOccurs="0"/>
                <xsd:element ref="ns2:MediaServiceGenerationTime" minOccurs="0"/>
                <xsd:element ref="ns2:MediaServiceEventHashCode" minOccurs="0"/>
                <xsd:element ref="ns2:lcf76f155ced4ddcb4097134ff3c332f" minOccurs="0"/>
                <xsd:element ref="ns2:MediaServiceOCR"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_Flow_SignoffStatu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98b980-cbec-4033-8883-ac659d9d45fd"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087a613-51bc-4c22-8d73-ca3f67f3256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Flow_SignoffStatus" ma:index="26" nillable="true" ma:displayName="Sign-off status" ma:internalName="Sign_x002d_off_x0020_status">
      <xsd:simpleType>
        <xsd:restriction base="dms:Text"/>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1b8d5f-bb82-429f-96d8-4cc46591677e"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36e7bbc-2a90-4ace-bc4d-64d1aa42d49b}" ma:internalName="TaxCatchAll" ma:showField="CatchAllData" ma:web="ae1b8d5f-bb82-429f-96d8-4cc46591677e">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igrationWizIdVersion xmlns="9598b980-cbec-4033-8883-ac659d9d45fd" xsi:nil="true"/>
    <MigrationWizIdPermissions xmlns="9598b980-cbec-4033-8883-ac659d9d45fd" xsi:nil="true"/>
    <_Flow_SignoffStatus xmlns="9598b980-cbec-4033-8883-ac659d9d45fd" xsi:nil="true"/>
    <lcf76f155ced4ddcb4097134ff3c332f xmlns="9598b980-cbec-4033-8883-ac659d9d45fd">
      <Terms xmlns="http://schemas.microsoft.com/office/infopath/2007/PartnerControls"/>
    </lcf76f155ced4ddcb4097134ff3c332f>
    <TaxCatchAll xmlns="ae1b8d5f-bb82-429f-96d8-4cc46591677e" xsi:nil="true"/>
    <MigrationWizId xmlns="9598b980-cbec-4033-8883-ac659d9d45f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76FE3B-8C37-4149-B4EA-F100360CB2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98b980-cbec-4033-8883-ac659d9d45fd"/>
    <ds:schemaRef ds:uri="ae1b8d5f-bb82-429f-96d8-4cc46591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F9B22E-56D1-4101-AF56-CF8D402FA579}">
  <ds:schemaRefs>
    <ds:schemaRef ds:uri="http://schemas.microsoft.com/office/2006/metadata/properties"/>
    <ds:schemaRef ds:uri="http://schemas.microsoft.com/office/infopath/2007/PartnerControls"/>
    <ds:schemaRef ds:uri="9598b980-cbec-4033-8883-ac659d9d45fd"/>
    <ds:schemaRef ds:uri="ae1b8d5f-bb82-429f-96d8-4cc46591677e"/>
  </ds:schemaRefs>
</ds:datastoreItem>
</file>

<file path=customXml/itemProps3.xml><?xml version="1.0" encoding="utf-8"?>
<ds:datastoreItem xmlns:ds="http://schemas.openxmlformats.org/officeDocument/2006/customXml" ds:itemID="{7C9014E7-5BCB-47CF-B4AE-C0F442430E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292</Words>
  <Characters>1667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Phalan</dc:creator>
  <cp:lastModifiedBy>Judy Lefevers</cp:lastModifiedBy>
  <cp:revision>2</cp:revision>
  <dcterms:created xsi:type="dcterms:W3CDTF">2025-08-21T19:58:00Z</dcterms:created>
  <dcterms:modified xsi:type="dcterms:W3CDTF">2025-08-21T19:58:00Z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2025-05-14T00:00:00Z</vt:filetime>
  </property>
  <property fmtid="{D5CDD505-2E9C-101B-9397-08002B2CF9AE}" pid="3" name="Creator">
    <vt:lpwstr>Acrobat PDFMaker 25 for Word</vt:lpwstr>
  </property>
  <property fmtid="{D5CDD505-2E9C-101B-9397-08002B2CF9AE}" pid="4" name="LastSaved">
    <vt:filetime>2025-08-04T00:00:00Z</vt:filetime>
  </property>
  <property fmtid="{D5CDD505-2E9C-101B-9397-08002B2CF9AE}" pid="5" name="ContentTypeId">
    <vt:lpwstr>0x0101005DA274B6BD0B3846B19D8817B2048EB7</vt:lpwstr>
  </property>
  <property fmtid="{D5CDD505-2E9C-101B-9397-08002B2CF9AE}" pid="6" name="MediaServiceImageTags">
    <vt:lpwstr/>
  </property>
</Properties>
</file>